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ehemiah-12"/>
    <w:p>
      <w:pPr>
        <w:pStyle w:val="Heading1"/>
      </w:pPr>
      <w:r>
        <w:t xml:space="preserve">Homiletics Analysis: Nehemiah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Nehemiah 12 divides into two movements. The first (vv. 1–26) is a sustained genealogical and priestly register — lists of priests and Levites from the return under Zerubbabel and Jeshua (vv. 1–9), the succession of high priests from Jeshua to Jaddua (vv. 10–11), the priestly family heads in the days of Joiakim (vv. 12–21), and the Levitical and priestly records preserved to the days of Darius (vv. 22–26). The second movement (vv. 27–47) narrates the dedication of the rebuilt wall of Jerusalem — a ceremony of extraordinary intentionality: the Levites are gathered from all their towns, purification rites are performed on the people, priests, and wall itself, two great processions are organized moving in opposite directions along the top of the wall, sacrifices and rejoicing follow, and the chapter closes with the appointment of men over the storerooms to receive the tithes for the support of the priests and Levites. The text explicitly notes that the joy of Jerusalem was heard from far away (v. 43).</w:t>
      </w:r>
    </w:p>
    <w:p>
      <w:pPr>
        <w:pStyle w:val="BodyText"/>
      </w:pPr>
      <w:r>
        <w:rPr>
          <w:b/>
          <w:bCs/>
        </w:rPr>
        <w:t xml:space="preserve">This Text — Intent:</w:t>
      </w:r>
    </w:p>
    <w:p>
      <w:pPr>
        <w:pStyle w:val="BodyText"/>
      </w:pPr>
      <w:r>
        <w:t xml:space="preserve">God is calling His restored people — and every subsequent generation of His people — to consecrate their works to Him, to worship with the full weight of what He has accomplished, and to build structures of ongoing faithfulness that sustain corporate worship across generations. The lists are not administrative padding; they are the covenant community’s insistence that names matter to God, that faithful servants across generations will be remembered, and that the work of restoration is not merely architectural but covenantal. The dedication ceremony is not merely a civic ribbon-cutting; it is an act of sanctification — returning to God what belongs to Him, with the joy that is the only fitting response to grace-driven restoration. The text intends to produce consecrated, joyful, structurally-sustained worship — not as an ending, but as a beginning.</w:t>
      </w:r>
    </w:p>
    <w:p>
      <w:r>
        <w:pict>
          <v:rect style="width:0;height:1.5pt" o:hralign="center" o:hrstd="t" o:hr="t"/>
        </w:pict>
      </w:r>
    </w:p>
    <w:p>
      <w:pPr>
        <w:pStyle w:val="FirstParagraph"/>
      </w:pPr>
      <w:r>
        <w:rPr>
          <w:b/>
          <w:bCs/>
        </w:rPr>
        <w:t xml:space="preserve">Subject Sentence:</w:t>
      </w:r>
      <w:r>
        <w:t xml:space="preserve"> </w:t>
      </w:r>
      <w:r>
        <w:t xml:space="preserve">The restored wall is dedicated to God with consecration, procession, sacrifice, and exceeding joy.</w:t>
      </w:r>
    </w:p>
    <w:p>
      <w:r>
        <w:pict>
          <v:rect style="width:0;height:1.5pt" o:hralign="center" o:hrstd="t" o:hr="t"/>
        </w:pict>
      </w:r>
    </w:p>
    <w:p>
      <w:pPr>
        <w:pStyle w:val="FirstParagraph"/>
      </w:pPr>
      <w:r>
        <w:rPr>
          <w:b/>
          <w:bCs/>
        </w:rPr>
        <w:t xml:space="preserve">Primary Claim:</w:t>
      </w:r>
      <w:r>
        <w:t xml:space="preserve"> </w:t>
      </w:r>
      <w:r>
        <w:t xml:space="preserve">God calls His restored people to consecrate their completed works fully to Him, offering joy-saturated worship that acknowledges every dimension of His faithfulness — and to build the institutional structures that will sustain that worship for the generations that follow.</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function of the genealogical lists (vv. 1–26):</w:t>
      </w:r>
    </w:p>
    <w:p>
      <w:pPr>
        <w:pStyle w:val="BodyText"/>
      </w:pPr>
      <w:r>
        <w:t xml:space="preserve">The most common homiletical failure here is to treat the opening lists as an embarrassing obstacle to the</w:t>
      </w:r>
      <w:r>
        <w:t xml:space="preserve"> </w:t>
      </w:r>
      <w:r>
        <w:t xml:space="preserve">“real”</w:t>
      </w:r>
      <w:r>
        <w:t xml:space="preserve"> </w:t>
      </w:r>
      <w:r>
        <w:t xml:space="preserve">material in vv. 27–47 — to skip to the dedication and handle the lists with an apologetic wave. This misreads the chapter’s unity. The lists serve the dedication: they establish</w:t>
      </w:r>
      <w:r>
        <w:t xml:space="preserve"> </w:t>
      </w:r>
      <w:r>
        <w:rPr>
          <w:i/>
          <w:iCs/>
        </w:rPr>
        <w:t xml:space="preserve">who</w:t>
      </w:r>
      <w:r>
        <w:t xml:space="preserve"> </w:t>
      </w:r>
      <w:r>
        <w:t xml:space="preserve">the worshippers are,</w:t>
      </w:r>
      <w:r>
        <w:t xml:space="preserve"> </w:t>
      </w:r>
      <w:r>
        <w:rPr>
          <w:i/>
          <w:iCs/>
        </w:rPr>
        <w:t xml:space="preserve">who</w:t>
      </w:r>
      <w:r>
        <w:t xml:space="preserve"> </w:t>
      </w:r>
      <w:r>
        <w:t xml:space="preserve">the priests and Levites are who will lead the ceremony, and</w:t>
      </w:r>
      <w:r>
        <w:t xml:space="preserve"> </w:t>
      </w:r>
      <w:r>
        <w:rPr>
          <w:i/>
          <w:iCs/>
        </w:rPr>
        <w:t xml:space="preserve">that</w:t>
      </w:r>
      <w:r>
        <w:t xml:space="preserve"> </w:t>
      </w:r>
      <w:r>
        <w:t xml:space="preserve">there is an unbroken chain of faithful servants from the first return under Zerubbabel to the present moment. They are the community’s institutional memory made visible — the proof that God’s people have been sustained through exile, return, and reconstruction. Without the lists, the dedication is merely a celebration; with them, it is a covenant ceremony performed by a community whose continuity is itself a testimony to grace. The Reformed reading holds the chapter together as a unity.</w:t>
      </w:r>
    </w:p>
    <w:p>
      <w:pPr>
        <w:pStyle w:val="BodyText"/>
      </w:pPr>
      <w:r>
        <w:rPr>
          <w:b/>
          <w:bCs/>
        </w:rPr>
        <w:t xml:space="preserve">Dispensational readings:</w:t>
      </w:r>
    </w:p>
    <w:p>
      <w:pPr>
        <w:pStyle w:val="BodyText"/>
      </w:pPr>
      <w:r>
        <w:t xml:space="preserve">Dispensationalist interpreters sometimes treat this chapter primarily as a record of Israel’s national restoration, with the dedication of the wall as a type or foreshadow of a future restored Davidic-era Jerusalem. While the chapter is certainly set within the restoration movement, treating it primarily as prophetic typology obscures its primary force as a model for covenant community practice — consecration, joy, institutional support for worship — that applies directly to God’s people in every age. The prophetic-typological dimension need not be denied, but it should not displace the chapter’s direct applicability. The Reformed reading acknowledges the redemptive-historical location of the text without reducing it to a prophetic placeholder.</w:t>
      </w:r>
    </w:p>
    <w:p>
      <w:pPr>
        <w:pStyle w:val="BodyText"/>
      </w:pPr>
      <w:r>
        <w:rPr>
          <w:b/>
          <w:bCs/>
        </w:rPr>
        <w:t xml:space="preserve">The dedicatory ceremony as merely civic:</w:t>
      </w:r>
    </w:p>
    <w:p>
      <w:pPr>
        <w:pStyle w:val="BodyText"/>
      </w:pPr>
      <w:r>
        <w:t xml:space="preserve">Some readers — especially those influenced by a sharp sacred/secular dichotomy — read the wall dedication as a civic celebration with religious trappings, analogous to a building dedication in modern experience. This underreads the text. The purification rites (v. 30), the two priestly and Levitical processions on top of the wall itself, the sacrificial worship, and the explicit appointment of men to maintain the support structures for priestly ministry all indicate that this is a full covenantal act — the consecration of a physical boundary as the boundary of a worshipping community. The wall is not merely civil infrastructure; it is the perimeter of the space where God’s name dwells. Its dedication is an act of returning that boundary to God and placing it under His authority. This reading accounts for the full weight of vv. 30–47.</w:t>
      </w:r>
    </w:p>
    <w:p>
      <w:pPr>
        <w:pStyle w:val="BodyText"/>
      </w:pPr>
      <w:r>
        <w:rPr>
          <w:b/>
          <w:bCs/>
        </w:rPr>
        <w:t xml:space="preserve">The joy of v. 43:</w:t>
      </w:r>
    </w:p>
    <w:p>
      <w:pPr>
        <w:pStyle w:val="BodyText"/>
      </w:pPr>
      <w:r>
        <w:t xml:space="preserve">Some interpreters treat the corporate joy of v. 43 as an emotional description — a note on the mood of the occasion. The Reformed reading sees it as theologically freighted: joy is the appropriate and Spirit-generated response to completed redemptive work. It is not incidental that the joy</w:t>
      </w:r>
      <w:r>
        <w:t xml:space="preserve"> </w:t>
      </w:r>
      <w:r>
        <w:t xml:space="preserve">“was heard from far away”</w:t>
      </w:r>
      <w:r>
        <w:t xml:space="preserve"> </w:t>
      </w:r>
      <w:r>
        <w:t xml:space="preserve">— this is witness. The community’s joy, in proportion to what God has done, becomes proclamation. This moves the application beyond sentiment into vocation.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40:9–11, 33–34</w:t>
      </w:r>
      <w:r>
        <w:t xml:space="preserve"> </w:t>
      </w:r>
      <w:r>
        <w:t xml:space="preserve">— Moses consecrates the tabernacle and its furnishings with anointing oil, and the glory of the LORD fills the tent. The dedication of restored Jerusalem’s wall stands in this line of covenantal consecration — spaces are sanctified not by human achievement but by being formally returned to God’s purposes and filled with His worshipping presence.</w:t>
      </w:r>
    </w:p>
    <w:p>
      <w:pPr>
        <w:numPr>
          <w:ilvl w:val="0"/>
          <w:numId w:val="1001"/>
        </w:numPr>
      </w:pPr>
      <w:r>
        <w:rPr>
          <w:b/>
          <w:bCs/>
        </w:rPr>
        <w:t xml:space="preserve">1 Kings 8:1–11, 54–66</w:t>
      </w:r>
      <w:r>
        <w:t xml:space="preserve"> </w:t>
      </w:r>
      <w:r>
        <w:t xml:space="preserve">— Solomon’s dedication of the temple establishes the paradigm: gathering the community, the formal transfer of the ark, the sacrifices, the blessing, the lengthy prayer of covenant intercession, and the joy of the people. Nehemiah 12’s dedication consciously echoes this structure — a rebuilt people performing the covenant acts that mark their continuity with Israel’s worship at its height.</w:t>
      </w:r>
    </w:p>
    <w:p>
      <w:pPr>
        <w:numPr>
          <w:ilvl w:val="0"/>
          <w:numId w:val="1001"/>
        </w:numPr>
      </w:pPr>
      <w:r>
        <w:rPr>
          <w:b/>
          <w:bCs/>
        </w:rPr>
        <w:t xml:space="preserve">Psalm 122</w:t>
      </w:r>
      <w:r>
        <w:t xml:space="preserve"> </w:t>
      </w:r>
      <w:r>
        <w:t xml:space="preserve">— The psalm of ascent celebrating Jerusalem as the place of pilgrimage and worship, where the tribes go up, where thrones of judgment stand, and where prayer for peace is the proper exercise. Nehemiah 12’s two processions moving to the house of God reenact the psalm’s movement — the city’s walls are the frame around the worship that defines the community.</w:t>
      </w:r>
    </w:p>
    <w:p>
      <w:pPr>
        <w:numPr>
          <w:ilvl w:val="0"/>
          <w:numId w:val="1001"/>
        </w:numPr>
      </w:pPr>
      <w:r>
        <w:rPr>
          <w:b/>
          <w:bCs/>
        </w:rPr>
        <w:t xml:space="preserve">Ezra 6:16–18</w:t>
      </w:r>
      <w:r>
        <w:t xml:space="preserve"> </w:t>
      </w:r>
      <w:r>
        <w:t xml:space="preserve">— The dedication of the second temple, celebrated with joy by priests, Levites, and returned exiles, including the appointment of priests and Levites to their divisions. Nehemiah 12’s wall dedication completes what Ezra 6 began — the temple was the center; the wall secures the community; together they constitute restored covenantal space.</w:t>
      </w:r>
    </w:p>
    <w:p>
      <w:pPr>
        <w:numPr>
          <w:ilvl w:val="0"/>
          <w:numId w:val="1001"/>
        </w:numPr>
      </w:pPr>
      <w:r>
        <w:rPr>
          <w:b/>
          <w:bCs/>
        </w:rPr>
        <w:t xml:space="preserve">Revelation 21:2, 10–14</w:t>
      </w:r>
      <w:r>
        <w:t xml:space="preserve"> </w:t>
      </w:r>
      <w:r>
        <w:t xml:space="preserve">— The New Jerusalem descending from heaven, its walls with the names of the twelve apostles and twelve tribes, the whole city as the dwelling of God with His people. The dedication of Jerusalem’s walls in Nehemiah 12 anticipates this eschatological fulfillment — the rebuilt city is a penultimate sign of the final city whose walls need no dedicatory ceremony because God Himself is its temple and its light.</w:t>
      </w:r>
    </w:p>
    <w:p>
      <w:r>
        <w:pict>
          <v:rect style="width:0;height:1.5pt" o:hralign="center" o:hrstd="t" o:hr="t"/>
        </w:pict>
      </w:r>
    </w:p>
    <w:p>
      <w:pPr>
        <w:pStyle w:val="FirstParagraph"/>
      </w:pPr>
      <w:r>
        <w:rPr>
          <w:b/>
          <w:bCs/>
        </w:rPr>
        <w:t xml:space="preserve">Aim:</w:t>
      </w:r>
      <w:r>
        <w:t xml:space="preserve"> </w:t>
      </w:r>
      <w:r>
        <w:t xml:space="preserve">To show that the completion of God’s work in and through His people demands a full-bodied response of consecration, structured worship, and enduring institutional support — and that joy, far from being optional, is the mark and measure of a community that knows what has actually been accomplished.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1–9</w:t>
            </w:r>
          </w:p>
        </w:tc>
        <w:tc>
          <w:tcPr/>
          <w:p>
            <w:pPr>
              <w:pStyle w:val="Compact"/>
            </w:pPr>
            <w:r>
              <w:t xml:space="preserve">List of priests and Levites who returned with Zerubbabel and Jeshua from Babylon</w:t>
            </w:r>
          </w:p>
        </w:tc>
        <w:tc>
          <w:tcPr/>
          <w:p>
            <w:pPr>
              <w:pStyle w:val="Compact"/>
            </w:pPr>
            <w:r>
              <w:t xml:space="preserve">Establishes the first generation of restoration leadership; links the current community to the original return</w:t>
            </w:r>
          </w:p>
        </w:tc>
      </w:tr>
      <w:tr>
        <w:tc>
          <w:tcPr/>
          <w:p>
            <w:pPr>
              <w:pStyle w:val="Compact"/>
            </w:pPr>
            <w:r>
              <w:t xml:space="preserve">10–11</w:t>
            </w:r>
          </w:p>
        </w:tc>
        <w:tc>
          <w:tcPr/>
          <w:p>
            <w:pPr>
              <w:pStyle w:val="Compact"/>
            </w:pPr>
            <w:r>
              <w:t xml:space="preserve">High priestly succession: Jeshua → Joiakim → Eliashib → Joiada → Jonathan → Jaddua</w:t>
            </w:r>
          </w:p>
        </w:tc>
        <w:tc>
          <w:tcPr/>
          <w:p>
            <w:pPr>
              <w:pStyle w:val="Compact"/>
            </w:pPr>
            <w:r>
              <w:t xml:space="preserve">Six generations of high priestly continuity; covenant faithfulness across generations</w:t>
            </w:r>
          </w:p>
        </w:tc>
      </w:tr>
      <w:tr>
        <w:tc>
          <w:tcPr/>
          <w:p>
            <w:pPr>
              <w:pStyle w:val="Compact"/>
            </w:pPr>
            <w:r>
              <w:t xml:space="preserve">12–21</w:t>
            </w:r>
          </w:p>
        </w:tc>
        <w:tc>
          <w:tcPr/>
          <w:p>
            <w:pPr>
              <w:pStyle w:val="Compact"/>
            </w:pPr>
            <w:r>
              <w:t xml:space="preserve">Priestly family heads in the days of Joiakim (the next generation after the return)</w:t>
            </w:r>
          </w:p>
        </w:tc>
        <w:tc>
          <w:tcPr/>
          <w:p>
            <w:pPr>
              <w:pStyle w:val="Compact"/>
            </w:pPr>
            <w:r>
              <w:t xml:space="preserve">Second generation of restoration priests; institutional continuity preserved</w:t>
            </w:r>
          </w:p>
        </w:tc>
      </w:tr>
      <w:tr>
        <w:tc>
          <w:tcPr/>
          <w:p>
            <w:pPr>
              <w:pStyle w:val="Compact"/>
            </w:pPr>
            <w:r>
              <w:t xml:space="preserve">22–26</w:t>
            </w:r>
          </w:p>
        </w:tc>
        <w:tc>
          <w:tcPr/>
          <w:p>
            <w:pPr>
              <w:pStyle w:val="Compact"/>
            </w:pPr>
            <w:r>
              <w:t xml:space="preserve">Record of Levitical family heads under Eliashib, Joiada, Johanan, Jaddua, and under Nehemiah and Ezra</w:t>
            </w:r>
          </w:p>
        </w:tc>
        <w:tc>
          <w:tcPr/>
          <w:p>
            <w:pPr>
              <w:pStyle w:val="Compact"/>
            </w:pPr>
            <w:r>
              <w:t xml:space="preserve">Archival note on record-keeping during Persian rule; continuity of Levitical service documented</w:t>
            </w:r>
          </w:p>
        </w:tc>
      </w:tr>
      <w:tr>
        <w:tc>
          <w:tcPr/>
          <w:p>
            <w:pPr>
              <w:pStyle w:val="Compact"/>
            </w:pPr>
            <w:r>
              <w:t xml:space="preserve">27–29</w:t>
            </w:r>
          </w:p>
        </w:tc>
        <w:tc>
          <w:tcPr/>
          <w:p>
            <w:pPr>
              <w:pStyle w:val="Compact"/>
            </w:pPr>
            <w:r>
              <w:t xml:space="preserve">Levites gathered from their settlements for the dedication; the dedication of the wall requires the full worshipping community</w:t>
            </w:r>
          </w:p>
        </w:tc>
        <w:tc>
          <w:tcPr/>
          <w:p>
            <w:pPr>
              <w:pStyle w:val="Compact"/>
            </w:pPr>
            <w:r>
              <w:t xml:space="preserve">The ceremony demands full covenant community participation — it is not a priestly-only event</w:t>
            </w:r>
          </w:p>
        </w:tc>
      </w:tr>
      <w:tr>
        <w:tc>
          <w:tcPr/>
          <w:p>
            <w:pPr>
              <w:pStyle w:val="Compact"/>
            </w:pPr>
            <w:r>
              <w:t xml:space="preserve">30</w:t>
            </w:r>
          </w:p>
        </w:tc>
        <w:tc>
          <w:tcPr/>
          <w:p>
            <w:pPr>
              <w:pStyle w:val="Compact"/>
            </w:pPr>
            <w:r>
              <w:t xml:space="preserve">Purification of the priests, Levites, people, gates, and wall</w:t>
            </w:r>
          </w:p>
        </w:tc>
        <w:tc>
          <w:tcPr/>
          <w:p>
            <w:pPr>
              <w:pStyle w:val="Compact"/>
            </w:pPr>
            <w:r>
              <w:t xml:space="preserve">Holiness precedes celebration; the wall itself is consecrated</w:t>
            </w:r>
          </w:p>
        </w:tc>
      </w:tr>
      <w:tr>
        <w:tc>
          <w:tcPr/>
          <w:p>
            <w:pPr>
              <w:pStyle w:val="Compact"/>
            </w:pPr>
            <w:r>
              <w:t xml:space="preserve">31–37</w:t>
            </w:r>
          </w:p>
        </w:tc>
        <w:tc>
          <w:tcPr/>
          <w:p>
            <w:pPr>
              <w:pStyle w:val="Compact"/>
            </w:pPr>
            <w:r>
              <w:t xml:space="preserve">First procession: Ezra leads one company southward and eastward along the wall</w:t>
            </w:r>
          </w:p>
        </w:tc>
        <w:tc>
          <w:tcPr/>
          <w:p>
            <w:pPr>
              <w:pStyle w:val="Compact"/>
            </w:pPr>
            <w:r>
              <w:t xml:space="preserve">Two processions move in opposite directions, converging on the temple</w:t>
            </w:r>
          </w:p>
        </w:tc>
      </w:tr>
      <w:tr>
        <w:tc>
          <w:tcPr/>
          <w:p>
            <w:pPr>
              <w:pStyle w:val="Compact"/>
            </w:pPr>
            <w:r>
              <w:t xml:space="preserve">38–39</w:t>
            </w:r>
          </w:p>
        </w:tc>
        <w:tc>
          <w:tcPr/>
          <w:p>
            <w:pPr>
              <w:pStyle w:val="Compact"/>
            </w:pPr>
            <w:r>
              <w:t xml:space="preserve">Second procession: Nehemiah follows the other company northward along the wall</w:t>
            </w:r>
          </w:p>
        </w:tc>
        <w:tc>
          <w:tcPr/>
          <w:p>
            <w:pPr>
              <w:pStyle w:val="Compact"/>
            </w:pPr>
            <w:r>
              <w:t xml:space="preserve">Nehemiah’s procession mirrors Ezra’s, completing the circuit</w:t>
            </w:r>
          </w:p>
        </w:tc>
      </w:tr>
      <w:tr>
        <w:tc>
          <w:tcPr/>
          <w:p>
            <w:pPr>
              <w:pStyle w:val="Compact"/>
            </w:pPr>
            <w:r>
              <w:t xml:space="preserve">40–42</w:t>
            </w:r>
          </w:p>
        </w:tc>
        <w:tc>
          <w:tcPr/>
          <w:p>
            <w:pPr>
              <w:pStyle w:val="Compact"/>
            </w:pPr>
            <w:r>
              <w:t xml:space="preserve">Both companies take their stand in the house of God; the priests blow trumpets; singers perform</w:t>
            </w:r>
          </w:p>
        </w:tc>
        <w:tc>
          <w:tcPr/>
          <w:p>
            <w:pPr>
              <w:pStyle w:val="Compact"/>
            </w:pPr>
            <w:r>
              <w:t xml:space="preserve">The processions converge at the temple — all roads lead to worship</w:t>
            </w:r>
          </w:p>
        </w:tc>
      </w:tr>
      <w:tr>
        <w:tc>
          <w:tcPr/>
          <w:p>
            <w:pPr>
              <w:pStyle w:val="Compact"/>
            </w:pPr>
            <w:r>
              <w:t xml:space="preserve">43</w:t>
            </w:r>
          </w:p>
        </w:tc>
        <w:tc>
          <w:tcPr/>
          <w:p>
            <w:pPr>
              <w:pStyle w:val="Compact"/>
            </w:pPr>
            <w:r>
              <w:t xml:space="preserve">Great sacrifices offered; the people rejoice with great joy; the joy of Jerusalem is heard far away</w:t>
            </w:r>
          </w:p>
        </w:tc>
        <w:tc>
          <w:tcPr/>
          <w:p>
            <w:pPr>
              <w:pStyle w:val="Compact"/>
            </w:pPr>
            <w:r>
              <w:t xml:space="preserve">Joy as covenantal response; joy as witness; the most theologically loaded verse in the chapter</w:t>
            </w:r>
          </w:p>
        </w:tc>
      </w:tr>
      <w:tr>
        <w:tc>
          <w:tcPr/>
          <w:p>
            <w:pPr>
              <w:pStyle w:val="Compact"/>
            </w:pPr>
            <w:r>
              <w:t xml:space="preserve">44</w:t>
            </w:r>
          </w:p>
        </w:tc>
        <w:tc>
          <w:tcPr/>
          <w:p>
            <w:pPr>
              <w:pStyle w:val="Compact"/>
            </w:pPr>
            <w:r>
              <w:t xml:space="preserve">Men appointed over storerooms for firstfruits and tithes; support structures for the Levites and priests</w:t>
            </w:r>
          </w:p>
        </w:tc>
        <w:tc>
          <w:tcPr/>
          <w:p>
            <w:pPr>
              <w:pStyle w:val="Compact"/>
            </w:pPr>
            <w:r>
              <w:t xml:space="preserve">Worship must be sustained — institutional provisions are not unspiritual</w:t>
            </w:r>
          </w:p>
        </w:tc>
      </w:tr>
      <w:tr>
        <w:tc>
          <w:tcPr/>
          <w:p>
            <w:pPr>
              <w:pStyle w:val="Compact"/>
            </w:pPr>
            <w:r>
              <w:t xml:space="preserve">45–46</w:t>
            </w:r>
          </w:p>
        </w:tc>
        <w:tc>
          <w:tcPr/>
          <w:p>
            <w:pPr>
              <w:pStyle w:val="Compact"/>
            </w:pPr>
            <w:r>
              <w:t xml:space="preserve">Priests and Levites performed the service of purification according to the commands of David and Solomon</w:t>
            </w:r>
          </w:p>
        </w:tc>
        <w:tc>
          <w:tcPr/>
          <w:p>
            <w:pPr>
              <w:pStyle w:val="Compact"/>
            </w:pPr>
            <w:r>
              <w:t xml:space="preserve">Continuity with Davidic-era worship patterns; reformation, not innovation</w:t>
            </w:r>
          </w:p>
        </w:tc>
      </w:tr>
      <w:tr>
        <w:tc>
          <w:tcPr/>
          <w:p>
            <w:pPr>
              <w:pStyle w:val="Compact"/>
            </w:pPr>
            <w:r>
              <w:t xml:space="preserve">47</w:t>
            </w:r>
          </w:p>
        </w:tc>
        <w:tc>
          <w:tcPr/>
          <w:p>
            <w:pPr>
              <w:pStyle w:val="Compact"/>
            </w:pPr>
            <w:r>
              <w:t xml:space="preserve">Contributions for singers and gatekeepers set aside daily; portions consecrated for the Levites</w:t>
            </w:r>
          </w:p>
        </w:tc>
        <w:tc>
          <w:tcPr/>
          <w:p>
            <w:pPr>
              <w:pStyle w:val="Compact"/>
            </w:pPr>
            <w:r>
              <w:t xml:space="preserve">The chapter closes with the community funding its worship infrastructure — daily, not occasionally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1–26</w:t>
            </w:r>
          </w:p>
        </w:tc>
        <w:tc>
          <w:tcPr/>
          <w:p>
            <w:pPr>
              <w:pStyle w:val="Compact"/>
            </w:pPr>
            <w:r>
              <w:t xml:space="preserve">The Covenant Community Remembered: Priestly and Levitical Registers Across Generations</w:t>
            </w:r>
          </w:p>
        </w:tc>
      </w:tr>
      <w:tr>
        <w:tc>
          <w:tcPr/>
          <w:p>
            <w:pPr>
              <w:pStyle w:val="Compact"/>
            </w:pPr>
            <w:r>
              <w:t xml:space="preserve">2</w:t>
            </w:r>
          </w:p>
        </w:tc>
        <w:tc>
          <w:tcPr/>
          <w:p>
            <w:pPr>
              <w:pStyle w:val="Compact"/>
            </w:pPr>
            <w:r>
              <w:t xml:space="preserve">27–30</w:t>
            </w:r>
          </w:p>
        </w:tc>
        <w:tc>
          <w:tcPr/>
          <w:p>
            <w:pPr>
              <w:pStyle w:val="Compact"/>
            </w:pPr>
            <w:r>
              <w:t xml:space="preserve">Preparation for Dedication: Gathering, Purification, and Consecration</w:t>
            </w:r>
          </w:p>
        </w:tc>
      </w:tr>
      <w:tr>
        <w:tc>
          <w:tcPr/>
          <w:p>
            <w:pPr>
              <w:pStyle w:val="Compact"/>
            </w:pPr>
            <w:r>
              <w:t xml:space="preserve">3</w:t>
            </w:r>
          </w:p>
        </w:tc>
        <w:tc>
          <w:tcPr/>
          <w:p>
            <w:pPr>
              <w:pStyle w:val="Compact"/>
            </w:pPr>
            <w:r>
              <w:t xml:space="preserve">31–43</w:t>
            </w:r>
          </w:p>
        </w:tc>
        <w:tc>
          <w:tcPr/>
          <w:p>
            <w:pPr>
              <w:pStyle w:val="Compact"/>
            </w:pPr>
            <w:r>
              <w:t xml:space="preserve">The Dedication Ceremony: Two Processions, Converging Worship, and Exceeding Joy</w:t>
            </w:r>
          </w:p>
        </w:tc>
      </w:tr>
      <w:tr>
        <w:tc>
          <w:tcPr/>
          <w:p>
            <w:pPr>
              <w:pStyle w:val="Compact"/>
            </w:pPr>
            <w:r>
              <w:t xml:space="preserve">4</w:t>
            </w:r>
          </w:p>
        </w:tc>
        <w:tc>
          <w:tcPr/>
          <w:p>
            <w:pPr>
              <w:pStyle w:val="Compact"/>
            </w:pPr>
            <w:r>
              <w:t xml:space="preserve">44–47</w:t>
            </w:r>
          </w:p>
        </w:tc>
        <w:tc>
          <w:tcPr/>
          <w:p>
            <w:pPr>
              <w:pStyle w:val="Compact"/>
            </w:pPr>
            <w:r>
              <w:t xml:space="preserve">Sustaining the Worship: Appointments, Tithes, and Daily Provision for the Ministers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restored wall is dedicated to God with consecration, procession, sacrifice, and exceeding joy.</w:t>
      </w:r>
    </w:p>
    <w:p>
      <w:pPr>
        <w:pStyle w:val="BodyText"/>
      </w:pPr>
      <w:r>
        <w:rPr>
          <w:b/>
          <w:bCs/>
        </w:rPr>
        <w:t xml:space="preserve">Primary Claim:</w:t>
      </w:r>
      <w:r>
        <w:t xml:space="preserve"> </w:t>
      </w:r>
      <w:r>
        <w:t xml:space="preserve">God calls His restored people to consecrate their completed works fully to Him, offering joy-saturated worship that acknowledges every dimension of His faithfulness — and to build the institutional structures that will sustain that worship for the generations that follow.</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The names in the lists are not filler; they are the testimony that God keeps track of His servants.</w:t>
      </w:r>
      <w:r>
        <w:t xml:space="preserve"> </w:t>
      </w:r>
      <w:r>
        <w:t xml:space="preserve">The opening twenty-six verses are a covenant community’s insistence that no faithful servant disappears into historical anonymity. Priests and Levites who served generation after generation, whose names are now largely unknown to us, are written into the record of God’s people. This is not bureaucratic housekeeping — it is a claim about the character of God: He remembers. Every Sunday school teacher, every deacon, every elder who served faithfully in obscurity is known. The application is not sentimental — it is doctrinal. Examine whether your theology of service has been contaminated by the assumption that only visible, celebrated ministry counts. God’s record-keeping says otherwise.</w:t>
      </w:r>
    </w:p>
    <w:p>
      <w:pPr>
        <w:pStyle w:val="BodyText"/>
      </w:pPr>
      <w:r>
        <w:rPr>
          <w:b/>
          <w:bCs/>
        </w:rPr>
        <w:t xml:space="preserve">2. [Affections/Worship] — Joy in proportion to what has actually been accomplished is not emotionalism; it is accuracy.</w:t>
      </w:r>
      <w:r>
        <w:t xml:space="preserve"> </w:t>
      </w:r>
      <w:r>
        <w:t xml:space="preserve">The joy of v. 43 that was</w:t>
      </w:r>
      <w:r>
        <w:t xml:space="preserve"> </w:t>
      </w:r>
      <w:r>
        <w:t xml:space="preserve">“heard from far away”</w:t>
      </w:r>
      <w:r>
        <w:t xml:space="preserve"> </w:t>
      </w:r>
      <w:r>
        <w:t xml:space="preserve">was not manufactured enthusiasm or worked-up feeling. It was the only appropriate response to what had actually happened — a people returned from exile, a city rebuilt, a wall dedicated, a worshipping community restored. The text measures joy against the work of God, not against the mood of the congregation. Examine whether the worship of your community is joyful in proportion to what God has actually done — in the gospel, in your own redemption, in the history of your congregation. Muted, polite, dutiful worship is not humble worship; it is disproportionate worship. It fails to account for what has actually been accomplished.</w:t>
      </w:r>
    </w:p>
    <w:p>
      <w:pPr>
        <w:pStyle w:val="BodyText"/>
      </w:pPr>
      <w:r>
        <w:rPr>
          <w:b/>
          <w:bCs/>
        </w:rPr>
        <w:t xml:space="preserve">3. [Will/Behavior] — Consecration precedes celebration: purify before you proceed.</w:t>
      </w:r>
      <w:r>
        <w:t xml:space="preserve"> </w:t>
      </w:r>
      <w:r>
        <w:t xml:space="preserve">Before the processions, before the singing, before the sacrifices, there was purification — of the priests, the Levites, the people, the gates, and the wall itself (v. 30). The ceremony did not skip straight to joy. Holiness was the precondition of celebration. The application is direct: before your community launches a building dedication, a ministry launch, a new initiative — ask whether the people and the work have been consecrated to God, or merely completed. Beginning well matters. The purification rite is not a quaint ritual remnant — it is the structural insistence that our works must be returned to God before we celebrate them.</w:t>
      </w:r>
    </w:p>
    <w:p>
      <w:pPr>
        <w:pStyle w:val="BodyText"/>
      </w:pPr>
      <w:r>
        <w:rPr>
          <w:b/>
          <w:bCs/>
        </w:rPr>
        <w:t xml:space="preserve">4. [Mind/Belief] — Institutional support for worship is not a distraction from worship; it is an act of worship.</w:t>
      </w:r>
      <w:r>
        <w:t xml:space="preserve"> </w:t>
      </w:r>
      <w:r>
        <w:t xml:space="preserve">Verses 44–47 are the chapter’s least preached section and among its most important. The appointment of men over storerooms, the daily setting aside of portions for the singers and gatekeepers — this is the community deciding that its worship will not be an event but a practice sustained by structure. The Reformed tradition has always understood that the church’s budget, its elder appointments, its deacon service, and its financial support for ministry are themselves acts of covenantal faithfulness. Examine whether you treat the institutional and financial dimensions of your church’s life as unspiritual necessities to be minimized, or as structures of faithfulness to be built with the same intentionality as the worship itself.</w:t>
      </w:r>
    </w:p>
    <w:p>
      <w:pPr>
        <w:pStyle w:val="BodyText"/>
      </w:pPr>
      <w:r>
        <w:rPr>
          <w:b/>
          <w:bCs/>
        </w:rPr>
        <w:t xml:space="preserve">5. [Affections/Worship] — The two processions on the wall declare that the entire boundary of the community belongs to God.</w:t>
      </w:r>
      <w:r>
        <w:t xml:space="preserve"> </w:t>
      </w:r>
      <w:r>
        <w:t xml:space="preserve">The fact that the processions walked on top of the wall — not merely around its base or inside its gates — is architecturally and theologically precise. The boundary itself was consecrated. Not just the temple courts, not just the altar, but the perimeter of the city. This is the community declaring that there is no square foot of their life together that lies outside God’s claim. The application extends to the believer’s personal life: where have you maintained interior walls — portions of your life, relationships, finances, ambitions — that have never been walked by procession and returned to God? Full consecration is not only ecclesial; it is personal.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Nehemiah 12 teaches that God is the Lord of completed works — that when His people finish what He has called them to do, the fitting response is not ownership but consecration. The chapter establishes that covenant worship requires full community participation, careful preparation, structured leadership, and joy in proportion to God’s faithfulness. It also teaches that God maintains an unbroken memory of His servants across generations — the priestly and Levitical registers are not a human archival impulse but a reflection of the God who forgets none of His own. Finally, the chapter teaches that worship is not sustainable by event alone — it requires institutional provision, daily support, and the deliberate appointment of people to maintain its structures. God’s people are called not only to worship on the mountaintop but to build the structures that sustain worship in the valley.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Nehemiah 12 is a paradigm for what the Reformed tradition calls the</w:t>
      </w:r>
      <w:r>
        <w:t xml:space="preserve"> </w:t>
      </w:r>
      <w:r>
        <w:t xml:space="preserve">“regulative principle”</w:t>
      </w:r>
      <w:r>
        <w:t xml:space="preserve"> </w:t>
      </w:r>
      <w:r>
        <w:t xml:space="preserve">in its deepest application — not merely that worship is governed by Scripture, but that the whole life of the covenant community is to be structured around the worship of God, with every boundary, every resource, and every appointment oriented toward sustaining that worship. The chapter’s insistence on purification before celebration reflects the Reformed understanding that access to God is always mediated through holiness — in the Old Covenant through priestly rites, in the New Covenant through the finished purification accomplished by Christ. The joy of Jerusalem heard from far away anticipates the New Testament pattern in which the church’s worship is itself a witness — the gathered, joyful community proclaims the gospel by its very existence. And the generational continuity of the priestly registers reflects the covenant promise that God will maintain His people across time, raising up faithful servants in every generation to lead His people in worship — a promise that finds its New Covenant expression in Christ’s building of His church against which the gates of hell shall not prevail.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wall is done. The exiles are home. The city is rebuilt. And God’s people do exactly the right thing: they don’t move on to the next project — they stop, purify, process, sacrifice, and erupt with joy so loud the surrounding region hears it. That is what finished grace-work demands. Whatever God has completed in you, in your community, in your church — consecrate it, celebrate it with full weight, and then build the structures that will sustain the worship it has produced. Don’t skip the dedication. Don’t minimize the joy. And don’t forget to fund the singers.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vv. 1–26 as an obstacle rather than a foundation.</w:t>
      </w:r>
      <w:r>
        <w:t xml:space="preserve"> </w:t>
      </w:r>
      <w:r>
        <w:t xml:space="preserve">The most common homiletical failure in Nehemiah 12 is to begin with an apology for the lists and then hurry to v. 27. This dismembers the chapter. The lists establish</w:t>
      </w:r>
      <w:r>
        <w:t xml:space="preserve"> </w:t>
      </w:r>
      <w:r>
        <w:rPr>
          <w:i/>
          <w:iCs/>
        </w:rPr>
        <w:t xml:space="preserve">who</w:t>
      </w:r>
      <w:r>
        <w:t xml:space="preserve"> </w:t>
      </w:r>
      <w:r>
        <w:t xml:space="preserve">is worshipping,</w:t>
      </w:r>
      <w:r>
        <w:t xml:space="preserve"> </w:t>
      </w:r>
      <w:r>
        <w:rPr>
          <w:i/>
          <w:iCs/>
        </w:rPr>
        <w:t xml:space="preserve">that</w:t>
      </w:r>
      <w:r>
        <w:t xml:space="preserve"> </w:t>
      </w:r>
      <w:r>
        <w:t xml:space="preserve">there is unbroken covenantal continuity, and</w:t>
      </w:r>
      <w:r>
        <w:t xml:space="preserve"> </w:t>
      </w:r>
      <w:r>
        <w:rPr>
          <w:i/>
          <w:iCs/>
        </w:rPr>
        <w:t xml:space="preserve">that</w:t>
      </w:r>
      <w:r>
        <w:t xml:space="preserve"> </w:t>
      </w:r>
      <w:r>
        <w:t xml:space="preserve">God remembers His servants — all of which give the dedication ceremony its full theological weight. A preacher who skips the lists has preached a celebration without a history, which is precisely the kind of rootless sentimentalism the chapter resists.</w:t>
      </w:r>
    </w:p>
    <w:p>
      <w:pPr>
        <w:numPr>
          <w:ilvl w:val="0"/>
          <w:numId w:val="1002"/>
        </w:numPr>
      </w:pPr>
      <w:r>
        <w:rPr>
          <w:b/>
          <w:bCs/>
        </w:rPr>
        <w:t xml:space="preserve">Reducing the joy of v. 43 to emotional description.</w:t>
      </w:r>
      <w:r>
        <w:t xml:space="preserve"> </w:t>
      </w:r>
      <w:r>
        <w:t xml:space="preserve">“And they rejoiced with great joy”</w:t>
      </w:r>
      <w:r>
        <w:t xml:space="preserve"> </w:t>
      </w:r>
      <w:r>
        <w:t xml:space="preserve">is not a stage direction — it is a theological claim. Joy in proportion to what God has accomplished is not merely a mood; it is accuracy about reality, it is witness to the watching world, and it is the Spirit’s evidence that the community knows what has actually happened. To preach this verse as a note on atmosphere rather than a claim about the character of covenant worship is to miss its weight entirely.</w:t>
      </w:r>
    </w:p>
    <w:p>
      <w:pPr>
        <w:numPr>
          <w:ilvl w:val="0"/>
          <w:numId w:val="1002"/>
        </w:numPr>
      </w:pPr>
      <w:r>
        <w:rPr>
          <w:b/>
          <w:bCs/>
        </w:rPr>
        <w:t xml:space="preserve">Missing the purification rites as theologically essential.</w:t>
      </w:r>
      <w:r>
        <w:t xml:space="preserve"> </w:t>
      </w:r>
      <w:r>
        <w:t xml:space="preserve">Verse 30 is often passed over as a ritual detail. It is the hermeneutical key to the ceremony. Holiness precedes celebration; consecration precedes procession. A preacher who moves from</w:t>
      </w:r>
      <w:r>
        <w:t xml:space="preserve"> </w:t>
      </w:r>
      <w:r>
        <w:t xml:space="preserve">“the wall is done”</w:t>
      </w:r>
      <w:r>
        <w:t xml:space="preserve"> </w:t>
      </w:r>
      <w:r>
        <w:t xml:space="preserve">to</w:t>
      </w:r>
      <w:r>
        <w:t xml:space="preserve"> </w:t>
      </w:r>
      <w:r>
        <w:t xml:space="preserve">“let’s celebrate”</w:t>
      </w:r>
      <w:r>
        <w:t xml:space="preserve"> </w:t>
      </w:r>
      <w:r>
        <w:t xml:space="preserve">without accounting for the purification rites has collapsed the covenantal logic of the passage — and has inadvertently preached that God’s people can offer their works to God without asking whether those works have been sanctified.</w:t>
      </w:r>
    </w:p>
    <w:p>
      <w:pPr>
        <w:numPr>
          <w:ilvl w:val="0"/>
          <w:numId w:val="1002"/>
        </w:numPr>
      </w:pPr>
      <w:r>
        <w:rPr>
          <w:b/>
          <w:bCs/>
        </w:rPr>
        <w:t xml:space="preserve">Treating vv. 44–47 as administrative appendix.</w:t>
      </w:r>
      <w:r>
        <w:t xml:space="preserve"> </w:t>
      </w:r>
      <w:r>
        <w:t xml:space="preserve">The chapter does not end with the joy of v. 43 — it ends with the appointment of men to maintain the support structures for worship. This is deliberate. The text insists that joy-saturated dedication must be followed by institutional faithfulness. A sermon that closes at v. 43 preaches a great moment without the structures that will make it a lasting practice — which is precisely the failure Nehemiah was working against throughout the entire book.</w:t>
      </w:r>
    </w:p>
    <w:p>
      <w:pPr>
        <w:numPr>
          <w:ilvl w:val="0"/>
          <w:numId w:val="1002"/>
        </w:numPr>
      </w:pPr>
      <w:r>
        <w:rPr>
          <w:b/>
          <w:bCs/>
        </w:rPr>
        <w:t xml:space="preserve">Disconnecting the wall dedication from the temple at its center.</w:t>
      </w:r>
      <w:r>
        <w:t xml:space="preserve"> </w:t>
      </w:r>
      <w:r>
        <w:t xml:space="preserve">The two processions do not celebrate the wall for the wall’s own sake — they move toward the house of God (v. 40). The wall exists to protect and define the space of worship. Preaching the dedication as a civic achievement — the community completing an impressive infrastructure project — misses the theological direction of the entire ceremony. The wall’s significance is entirely derivative from the temple’s significance. The boundary matters because of what it encloses.</w:t>
      </w:r>
    </w:p>
    <w:p>
      <w:pPr>
        <w:numPr>
          <w:ilvl w:val="0"/>
          <w:numId w:val="1002"/>
        </w:numPr>
      </w:pPr>
      <w:r>
        <w:rPr>
          <w:b/>
          <w:bCs/>
        </w:rPr>
        <w:t xml:space="preserve">Failing to connect the generational registers to the pastoral encouragement of faithful obscure service.</w:t>
      </w:r>
      <w:r>
        <w:t xml:space="preserve"> </w:t>
      </w:r>
      <w:r>
        <w:t xml:space="preserve">The lists in vv. 1–26 contain dozens of names known to almost no subsequent reader of Scripture. A preacher who skips them has skipped the text’s implicit word to every faithful servant whose name will never appear in a prominent place: God keeps the record, God publishes the names, and no generation of faithful Levitical service goes unremembered. This is not a minor pastoral application — it is the direct implication of what the text is doing with the lists, and it addresses one of the deepest discouragements in Christian ministry.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2026-07-14T21:03:46Z</dcterms:created>
  <dcterms:modified xsi:type="dcterms:W3CDTF">2026-07-14T21:03:46Z</dcterms:modified>
</cp:coreProperties>
</file>

<file path=docProps/custom.xml><?xml version="1.0" encoding="utf-8"?>
<Properties xmlns="http://schemas.openxmlformats.org/officeDocument/2006/custom-properties" xmlns:vt="http://schemas.openxmlformats.org/officeDocument/2006/docPropsVTypes"/>
</file>